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8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65"/>
        <w:gridCol w:w="8820"/>
      </w:tblGrid>
      <w:tr w:rsidR="00994729" w:rsidRPr="00D767BE" w14:paraId="4DEC57A8" w14:textId="77777777" w:rsidTr="00994729">
        <w:trPr>
          <w:tblHeader/>
          <w:tblCellSpacing w:w="15" w:type="dxa"/>
        </w:trPr>
        <w:tc>
          <w:tcPr>
            <w:tcW w:w="2020" w:type="dxa"/>
            <w:shd w:val="clear" w:color="auto" w:fill="4C94D8" w:themeFill="text2" w:themeFillTint="80"/>
            <w:vAlign w:val="center"/>
            <w:hideMark/>
          </w:tcPr>
          <w:p w14:paraId="45A8B3D0" w14:textId="55EE8F0A" w:rsidR="00994729" w:rsidRPr="00D767BE" w:rsidRDefault="006F3815" w:rsidP="00994729">
            <w:pPr>
              <w:jc w:val="center"/>
              <w:rPr>
                <w:b/>
                <w:bCs/>
                <w:color w:val="FFFFFF" w:themeColor="background1"/>
                <w:sz w:val="32"/>
                <w:szCs w:val="32"/>
              </w:rPr>
            </w:pPr>
            <w:r>
              <w:rPr>
                <w:b/>
                <w:bCs/>
                <w:color w:val="FFFFFF" w:themeColor="background1"/>
                <w:sz w:val="32"/>
                <w:szCs w:val="32"/>
              </w:rPr>
              <w:t>Performance</w:t>
            </w:r>
            <w:r w:rsidR="00994729" w:rsidRPr="00D767BE">
              <w:rPr>
                <w:b/>
                <w:bCs/>
                <w:color w:val="FFFFFF" w:themeColor="background1"/>
                <w:sz w:val="32"/>
                <w:szCs w:val="32"/>
              </w:rPr>
              <w:t xml:space="preserve"> </w:t>
            </w:r>
            <w:r>
              <w:rPr>
                <w:b/>
                <w:bCs/>
                <w:color w:val="FFFFFF" w:themeColor="background1"/>
                <w:sz w:val="32"/>
                <w:szCs w:val="32"/>
              </w:rPr>
              <w:t>Factor</w:t>
            </w:r>
          </w:p>
        </w:tc>
        <w:tc>
          <w:tcPr>
            <w:tcW w:w="8775" w:type="dxa"/>
            <w:shd w:val="clear" w:color="auto" w:fill="4C94D8" w:themeFill="text2" w:themeFillTint="80"/>
            <w:vAlign w:val="center"/>
            <w:hideMark/>
          </w:tcPr>
          <w:p w14:paraId="74070F8C" w14:textId="529551FB" w:rsidR="00994729" w:rsidRPr="00D767BE" w:rsidRDefault="00994729" w:rsidP="00994729">
            <w:pPr>
              <w:rPr>
                <w:b/>
                <w:bCs/>
                <w:color w:val="FFFFFF" w:themeColor="background1"/>
                <w:sz w:val="32"/>
                <w:szCs w:val="32"/>
              </w:rPr>
            </w:pPr>
            <w:r w:rsidRPr="00D767BE">
              <w:rPr>
                <w:b/>
                <w:bCs/>
                <w:color w:val="FFFFFF" w:themeColor="background1"/>
                <w:sz w:val="32"/>
                <w:szCs w:val="32"/>
              </w:rPr>
              <w:t xml:space="preserve">           Description of High-Level </w:t>
            </w:r>
            <w:r w:rsidR="006F3815">
              <w:rPr>
                <w:b/>
                <w:bCs/>
                <w:color w:val="FFFFFF" w:themeColor="background1"/>
                <w:sz w:val="32"/>
                <w:szCs w:val="32"/>
              </w:rPr>
              <w:t>Performance</w:t>
            </w:r>
          </w:p>
        </w:tc>
      </w:tr>
      <w:tr w:rsidR="00994729" w:rsidRPr="00D767BE" w14:paraId="2ED63570" w14:textId="77777777" w:rsidTr="002B0876">
        <w:trPr>
          <w:tblCellSpacing w:w="15" w:type="dxa"/>
        </w:trPr>
        <w:tc>
          <w:tcPr>
            <w:tcW w:w="2020" w:type="dxa"/>
            <w:vAlign w:val="center"/>
          </w:tcPr>
          <w:p w14:paraId="7EEBB426" w14:textId="0BF86C33" w:rsidR="00994729" w:rsidRPr="00D767BE" w:rsidRDefault="002B0876" w:rsidP="00994729">
            <w:pPr>
              <w:rPr>
                <w:b/>
                <w:bCs/>
              </w:rPr>
            </w:pPr>
            <w:r w:rsidRPr="00D767BE">
              <w:rPr>
                <w:b/>
                <w:bCs/>
              </w:rPr>
              <w:t>Meets All Production Goals &amp; Builds Their Desk</w:t>
            </w:r>
          </w:p>
        </w:tc>
        <w:tc>
          <w:tcPr>
            <w:tcW w:w="8775" w:type="dxa"/>
            <w:vAlign w:val="center"/>
          </w:tcPr>
          <w:p w14:paraId="336B1A21" w14:textId="6E708078" w:rsidR="00994729" w:rsidRPr="00D767BE" w:rsidRDefault="002B0876" w:rsidP="00994729">
            <w:pPr>
              <w:rPr>
                <w:sz w:val="20"/>
                <w:szCs w:val="20"/>
              </w:rPr>
            </w:pPr>
            <w:r w:rsidRPr="00D767BE">
              <w:rPr>
                <w:sz w:val="20"/>
                <w:szCs w:val="20"/>
              </w:rPr>
              <w:t>A high-performing escrow officer consistently meets or exceeds production goals, closing a high volume of transactions while maintaining exceptional service levels. They proactively seek opportunities to build their desk, collaborating with sales representatives to secure new business and retain existing customers. They develop strong relationships with real estate agents, lenders, and other stakeholders, ensuring a steady flow of transactions. Their ability to manage a growing workload efficiently while maintaining accuracy and compliance sets them apart. They consistently drive revenue growth, with monthly closing revenue reaching $75,000–$100,000 or more, and achieve a 95%+ client retention rate.</w:t>
            </w:r>
            <w:r w:rsidR="002C0C02" w:rsidRPr="00D767BE">
              <w:rPr>
                <w:sz w:val="20"/>
                <w:szCs w:val="20"/>
              </w:rPr>
              <w:t xml:space="preserve"> (These numbers should be adjusted to specific markets).</w:t>
            </w:r>
          </w:p>
        </w:tc>
      </w:tr>
      <w:tr w:rsidR="00B534A1" w:rsidRPr="00D767BE" w14:paraId="2A39FF37" w14:textId="77777777" w:rsidTr="00994729">
        <w:trPr>
          <w:tblCellSpacing w:w="15" w:type="dxa"/>
        </w:trPr>
        <w:tc>
          <w:tcPr>
            <w:tcW w:w="2020" w:type="dxa"/>
            <w:vAlign w:val="center"/>
          </w:tcPr>
          <w:p w14:paraId="3422BE00" w14:textId="4A217F50" w:rsidR="00B534A1" w:rsidRPr="00D767BE" w:rsidRDefault="002B0876" w:rsidP="00994729">
            <w:pPr>
              <w:rPr>
                <w:b/>
                <w:bCs/>
              </w:rPr>
            </w:pPr>
            <w:r w:rsidRPr="00D767BE">
              <w:rPr>
                <w:b/>
                <w:bCs/>
              </w:rPr>
              <w:t>Gives Every Customer a Pro</w:t>
            </w:r>
            <w:r w:rsidR="009F4F34" w:rsidRPr="00D767BE">
              <w:rPr>
                <w:b/>
                <w:bCs/>
              </w:rPr>
              <w:t>f</w:t>
            </w:r>
            <w:r w:rsidRPr="00D767BE">
              <w:rPr>
                <w:b/>
                <w:bCs/>
              </w:rPr>
              <w:t>essional &amp; Exceptional Closing Experience</w:t>
            </w:r>
          </w:p>
        </w:tc>
        <w:tc>
          <w:tcPr>
            <w:tcW w:w="8775" w:type="dxa"/>
            <w:vAlign w:val="center"/>
          </w:tcPr>
          <w:p w14:paraId="33DFC29E" w14:textId="3F65A218" w:rsidR="00B534A1" w:rsidRPr="00D767BE" w:rsidRDefault="002B0876" w:rsidP="00994729">
            <w:pPr>
              <w:rPr>
                <w:sz w:val="20"/>
                <w:szCs w:val="20"/>
              </w:rPr>
            </w:pPr>
            <w:r w:rsidRPr="00D767BE">
              <w:rPr>
                <w:sz w:val="20"/>
                <w:szCs w:val="20"/>
              </w:rPr>
              <w:t>A top escrow officer understands that a closing is more than just a transaction—it’s a pivotal moment for buyers, sellers, and agents. They create a smooth, stress-free closing experience by effectively managing expectations, addressing concerns, and handling last-minute challenges with professionalism and grace. They engage all parties with confidence, making each client feel valued and informed. Whether working with first-time buyers, seasoned investors, or high-volume agents, they adapt their approach to ensure each closing is positive and memorable. Their ability to read the room and foster trust turns clients into advocates and referral sources for future business.</w:t>
            </w:r>
          </w:p>
        </w:tc>
      </w:tr>
      <w:tr w:rsidR="00994729" w:rsidRPr="00D767BE" w14:paraId="1502FA1C" w14:textId="77777777" w:rsidTr="002B0876">
        <w:trPr>
          <w:tblCellSpacing w:w="15" w:type="dxa"/>
        </w:trPr>
        <w:tc>
          <w:tcPr>
            <w:tcW w:w="2020" w:type="dxa"/>
            <w:vAlign w:val="center"/>
          </w:tcPr>
          <w:p w14:paraId="6ACCCE2B" w14:textId="1CFF2AF7" w:rsidR="00994729" w:rsidRPr="00D767BE" w:rsidRDefault="002B0876" w:rsidP="00994729">
            <w:pPr>
              <w:rPr>
                <w:b/>
                <w:bCs/>
              </w:rPr>
            </w:pPr>
            <w:r w:rsidRPr="00D767BE">
              <w:rPr>
                <w:b/>
                <w:bCs/>
              </w:rPr>
              <w:t>Communicates Effectively Throughout the Process (Including NDPs)</w:t>
            </w:r>
          </w:p>
        </w:tc>
        <w:tc>
          <w:tcPr>
            <w:tcW w:w="8775" w:type="dxa"/>
            <w:vAlign w:val="center"/>
          </w:tcPr>
          <w:p w14:paraId="4E0E4892" w14:textId="6B2D95AC" w:rsidR="00994729" w:rsidRPr="00D767BE" w:rsidRDefault="002B0876" w:rsidP="00994729">
            <w:pPr>
              <w:rPr>
                <w:sz w:val="20"/>
                <w:szCs w:val="20"/>
              </w:rPr>
            </w:pPr>
            <w:r w:rsidRPr="00D767BE">
              <w:rPr>
                <w:sz w:val="20"/>
                <w:szCs w:val="20"/>
              </w:rPr>
              <w:t xml:space="preserve">An exceptional escrow officer keeps all parties informed at every stage of the transaction. They proactively provide updates, anticipate questions, and tailor their communication style to meet client preferences (text, email, phone). Their emails and messages are clear, professional, and reassuring, instilling confidence in the process. They ensure that </w:t>
            </w:r>
            <w:r w:rsidRPr="00D767BE">
              <w:rPr>
                <w:b/>
                <w:bCs/>
                <w:sz w:val="20"/>
                <w:szCs w:val="20"/>
              </w:rPr>
              <w:t>Non-Directing Parties (NDPs)</w:t>
            </w:r>
            <w:r w:rsidRPr="00D767BE">
              <w:rPr>
                <w:sz w:val="20"/>
                <w:szCs w:val="20"/>
              </w:rPr>
              <w:t xml:space="preserve"> are engaged and well-informed, preventing confusion and ensuring seamless closings. Their ability to communicate complex details in a way that is easy to understand helps to build strong relationships and prevent misunderstandings. Nothing falls through the cracks under their watch.</w:t>
            </w:r>
          </w:p>
        </w:tc>
      </w:tr>
      <w:tr w:rsidR="00994729" w:rsidRPr="00D767BE" w14:paraId="0A5790DB" w14:textId="77777777" w:rsidTr="002B0876">
        <w:trPr>
          <w:tblCellSpacing w:w="15" w:type="dxa"/>
        </w:trPr>
        <w:tc>
          <w:tcPr>
            <w:tcW w:w="2020" w:type="dxa"/>
            <w:vAlign w:val="center"/>
          </w:tcPr>
          <w:p w14:paraId="2E41BB52" w14:textId="6F24D162" w:rsidR="00994729" w:rsidRPr="00D767BE" w:rsidRDefault="002B0876" w:rsidP="00994729">
            <w:pPr>
              <w:rPr>
                <w:b/>
                <w:bCs/>
              </w:rPr>
            </w:pPr>
            <w:r w:rsidRPr="00D767BE">
              <w:rPr>
                <w:b/>
                <w:bCs/>
              </w:rPr>
              <w:t xml:space="preserve">100% Prepared </w:t>
            </w:r>
            <w:r w:rsidR="009F4F34" w:rsidRPr="00D767BE">
              <w:rPr>
                <w:b/>
                <w:bCs/>
              </w:rPr>
              <w:t>f</w:t>
            </w:r>
            <w:r w:rsidRPr="00D767BE">
              <w:rPr>
                <w:b/>
                <w:bCs/>
              </w:rPr>
              <w:t>or Each Closing</w:t>
            </w:r>
          </w:p>
        </w:tc>
        <w:tc>
          <w:tcPr>
            <w:tcW w:w="8775" w:type="dxa"/>
            <w:vAlign w:val="center"/>
          </w:tcPr>
          <w:p w14:paraId="2ABC06A4" w14:textId="4DFF453C" w:rsidR="00994729" w:rsidRPr="00D767BE" w:rsidRDefault="002B0876" w:rsidP="00994729">
            <w:pPr>
              <w:rPr>
                <w:sz w:val="20"/>
                <w:szCs w:val="20"/>
              </w:rPr>
            </w:pPr>
            <w:r w:rsidRPr="00D767BE">
              <w:rPr>
                <w:sz w:val="20"/>
                <w:szCs w:val="20"/>
              </w:rPr>
              <w:t>The best escrow officers never enter a closing room unprepared. They meticulously review all documents in advance, double-checking every detail to prevent errors or delays. Their files are balanced, complete, and fully compliant with lender and regulatory requirements. They ensure that all parties are aware of closing logistics and have all necessary documents ready before signing. When unexpected issues arise, they handle them swiftly and professionally, ensuring that closings proceed smoothly. Their preparation allows them to instill confidence in clients, reducing stress and improving the overall customer experience.</w:t>
            </w:r>
          </w:p>
        </w:tc>
      </w:tr>
      <w:tr w:rsidR="00994729" w:rsidRPr="00D767BE" w14:paraId="4777B01A" w14:textId="77777777" w:rsidTr="002B0876">
        <w:trPr>
          <w:tblCellSpacing w:w="15" w:type="dxa"/>
        </w:trPr>
        <w:tc>
          <w:tcPr>
            <w:tcW w:w="2020" w:type="dxa"/>
            <w:vAlign w:val="center"/>
          </w:tcPr>
          <w:p w14:paraId="5C5CDBC7" w14:textId="375C7D2D" w:rsidR="00994729" w:rsidRPr="00D767BE" w:rsidRDefault="002B0876" w:rsidP="00994729">
            <w:pPr>
              <w:rPr>
                <w:b/>
                <w:bCs/>
              </w:rPr>
            </w:pPr>
            <w:r w:rsidRPr="00D767BE">
              <w:rPr>
                <w:b/>
                <w:bCs/>
              </w:rPr>
              <w:t>Fully Compliant with Legal Requirements</w:t>
            </w:r>
            <w:r w:rsidR="002C0C02" w:rsidRPr="00D767BE">
              <w:rPr>
                <w:b/>
                <w:bCs/>
              </w:rPr>
              <w:t>,</w:t>
            </w:r>
            <w:r w:rsidRPr="00D767BE">
              <w:rPr>
                <w:b/>
                <w:bCs/>
              </w:rPr>
              <w:t xml:space="preserve"> </w:t>
            </w:r>
            <w:r w:rsidR="002C0C02" w:rsidRPr="00D767BE">
              <w:rPr>
                <w:b/>
                <w:bCs/>
              </w:rPr>
              <w:t>Procedures</w:t>
            </w:r>
            <w:r w:rsidRPr="00D767BE">
              <w:rPr>
                <w:b/>
                <w:bCs/>
              </w:rPr>
              <w:t xml:space="preserve"> &amp; Fraud Detection</w:t>
            </w:r>
          </w:p>
        </w:tc>
        <w:tc>
          <w:tcPr>
            <w:tcW w:w="8775" w:type="dxa"/>
            <w:vAlign w:val="center"/>
          </w:tcPr>
          <w:p w14:paraId="7168404D" w14:textId="18779551" w:rsidR="00994729" w:rsidRPr="00D767BE" w:rsidRDefault="002B0876" w:rsidP="00994729">
            <w:pPr>
              <w:rPr>
                <w:sz w:val="20"/>
                <w:szCs w:val="20"/>
              </w:rPr>
            </w:pPr>
            <w:r w:rsidRPr="00D767BE">
              <w:rPr>
                <w:sz w:val="20"/>
                <w:szCs w:val="20"/>
              </w:rPr>
              <w:t xml:space="preserve">A high-performing escrow officer is an expert in compliance, understanding all </w:t>
            </w:r>
            <w:r w:rsidR="002C0C02" w:rsidRPr="00D767BE">
              <w:rPr>
                <w:sz w:val="20"/>
                <w:szCs w:val="20"/>
              </w:rPr>
              <w:t xml:space="preserve">escrow procedures, </w:t>
            </w:r>
            <w:r w:rsidRPr="00D767BE">
              <w:rPr>
                <w:sz w:val="20"/>
                <w:szCs w:val="20"/>
              </w:rPr>
              <w:t xml:space="preserve">regulatory and legal requirements, including </w:t>
            </w:r>
            <w:r w:rsidRPr="00D767BE">
              <w:rPr>
                <w:b/>
                <w:bCs/>
                <w:sz w:val="20"/>
                <w:szCs w:val="20"/>
              </w:rPr>
              <w:t>FIRPTA, RESPA, FinCEN</w:t>
            </w:r>
            <w:r w:rsidRPr="00D767BE">
              <w:rPr>
                <w:sz w:val="20"/>
                <w:szCs w:val="20"/>
              </w:rPr>
              <w:t xml:space="preserve">, and other federal and state laws. They meticulously follow lender instructions and ensure every transaction is handled with integrity and accuracy. They are highly vigilant in spotting potential fraud, identity theft, and suspicious activities, escalating concerns when necessary. Their strong compliance record ensures that audits are clean, reducing company liability. They are often seen as the </w:t>
            </w:r>
            <w:r w:rsidRPr="00D767BE">
              <w:rPr>
                <w:b/>
                <w:bCs/>
                <w:sz w:val="20"/>
                <w:szCs w:val="20"/>
              </w:rPr>
              <w:t>go-to expert</w:t>
            </w:r>
            <w:r w:rsidRPr="00D767BE">
              <w:rPr>
                <w:sz w:val="20"/>
                <w:szCs w:val="20"/>
              </w:rPr>
              <w:t xml:space="preserve"> for complex compliance-related issues and proactively educate colleagues on best practices.</w:t>
            </w:r>
          </w:p>
        </w:tc>
      </w:tr>
      <w:tr w:rsidR="00994729" w:rsidRPr="00D767BE" w14:paraId="0317B9D0" w14:textId="77777777" w:rsidTr="002B0876">
        <w:trPr>
          <w:tblCellSpacing w:w="15" w:type="dxa"/>
        </w:trPr>
        <w:tc>
          <w:tcPr>
            <w:tcW w:w="2020" w:type="dxa"/>
            <w:vAlign w:val="center"/>
          </w:tcPr>
          <w:p w14:paraId="55AB9F19" w14:textId="40CA2272" w:rsidR="00994729" w:rsidRPr="00D767BE" w:rsidRDefault="002B0876" w:rsidP="00994729">
            <w:pPr>
              <w:rPr>
                <w:b/>
                <w:bCs/>
              </w:rPr>
            </w:pPr>
            <w:r w:rsidRPr="00D767BE">
              <w:rPr>
                <w:b/>
                <w:bCs/>
              </w:rPr>
              <w:lastRenderedPageBreak/>
              <w:t>Dependable &amp; Reliable</w:t>
            </w:r>
          </w:p>
        </w:tc>
        <w:tc>
          <w:tcPr>
            <w:tcW w:w="8775" w:type="dxa"/>
            <w:vAlign w:val="center"/>
          </w:tcPr>
          <w:p w14:paraId="34037120" w14:textId="1502A394" w:rsidR="00994729" w:rsidRPr="00D767BE" w:rsidRDefault="002B0876" w:rsidP="00994729">
            <w:pPr>
              <w:rPr>
                <w:sz w:val="20"/>
                <w:szCs w:val="20"/>
              </w:rPr>
            </w:pPr>
            <w:r w:rsidRPr="00D767BE">
              <w:rPr>
                <w:sz w:val="20"/>
                <w:szCs w:val="20"/>
              </w:rPr>
              <w:t xml:space="preserve">Great escrow officers are the backbone of the team—they can be counted on to </w:t>
            </w:r>
            <w:r w:rsidRPr="00D767BE">
              <w:rPr>
                <w:b/>
                <w:bCs/>
                <w:sz w:val="20"/>
                <w:szCs w:val="20"/>
              </w:rPr>
              <w:t xml:space="preserve">show up, </w:t>
            </w:r>
            <w:r w:rsidR="006F3815">
              <w:rPr>
                <w:b/>
                <w:bCs/>
                <w:sz w:val="20"/>
                <w:szCs w:val="20"/>
              </w:rPr>
              <w:t>follow</w:t>
            </w:r>
            <w:r w:rsidRPr="00D767BE">
              <w:rPr>
                <w:b/>
                <w:bCs/>
                <w:sz w:val="20"/>
                <w:szCs w:val="20"/>
              </w:rPr>
              <w:t xml:space="preserve"> through, and go the extra mile</w:t>
            </w:r>
            <w:r w:rsidRPr="00D767BE">
              <w:rPr>
                <w:sz w:val="20"/>
                <w:szCs w:val="20"/>
              </w:rPr>
              <w:t xml:space="preserve"> when needed. They consistently meet deadlines, stay late when necessary, and willingly step in to assist when the team is short-staffed. They do not watch the clock or cut corners; instead, they demonstrate a strong work ethic and commitment to client satisfaction. Their dependability makes them invaluable in high-pressure situations, and they are often trusted with high-priority or VIP clients.</w:t>
            </w:r>
          </w:p>
        </w:tc>
      </w:tr>
      <w:tr w:rsidR="00994729" w:rsidRPr="00D767BE" w14:paraId="585C7ACC" w14:textId="77777777" w:rsidTr="002B0876">
        <w:trPr>
          <w:tblCellSpacing w:w="15" w:type="dxa"/>
        </w:trPr>
        <w:tc>
          <w:tcPr>
            <w:tcW w:w="2020" w:type="dxa"/>
            <w:vAlign w:val="center"/>
          </w:tcPr>
          <w:p w14:paraId="4040043B" w14:textId="4F8B5C07" w:rsidR="00994729" w:rsidRPr="00D767BE" w:rsidRDefault="002B0876" w:rsidP="00994729">
            <w:pPr>
              <w:rPr>
                <w:b/>
                <w:bCs/>
              </w:rPr>
            </w:pPr>
            <w:r w:rsidRPr="00D767BE">
              <w:rPr>
                <w:b/>
                <w:bCs/>
              </w:rPr>
              <w:t>Technically Capable - Learns Quickly</w:t>
            </w:r>
          </w:p>
        </w:tc>
        <w:tc>
          <w:tcPr>
            <w:tcW w:w="8775" w:type="dxa"/>
            <w:vAlign w:val="center"/>
          </w:tcPr>
          <w:p w14:paraId="72EF1098" w14:textId="29207BB7" w:rsidR="00994729" w:rsidRPr="00D767BE" w:rsidRDefault="002B0876" w:rsidP="00994729">
            <w:pPr>
              <w:rPr>
                <w:sz w:val="20"/>
                <w:szCs w:val="20"/>
              </w:rPr>
            </w:pPr>
            <w:r w:rsidRPr="00D767BE">
              <w:rPr>
                <w:sz w:val="20"/>
                <w:szCs w:val="20"/>
              </w:rPr>
              <w:t xml:space="preserve">A great escrow officer is </w:t>
            </w:r>
            <w:r w:rsidRPr="00D767BE">
              <w:rPr>
                <w:b/>
                <w:bCs/>
                <w:sz w:val="20"/>
                <w:szCs w:val="20"/>
              </w:rPr>
              <w:t>tech-savvy and quick to adapt</w:t>
            </w:r>
            <w:r w:rsidRPr="00D767BE">
              <w:rPr>
                <w:sz w:val="20"/>
                <w:szCs w:val="20"/>
              </w:rPr>
              <w:t xml:space="preserve"> to new tools and systems. They master </w:t>
            </w:r>
            <w:r w:rsidRPr="00D767BE">
              <w:rPr>
                <w:b/>
                <w:bCs/>
                <w:sz w:val="20"/>
                <w:szCs w:val="20"/>
              </w:rPr>
              <w:t>RamQuest, EscrowTab, and other escrow-related technologies</w:t>
            </w:r>
            <w:r w:rsidRPr="00D767BE">
              <w:rPr>
                <w:sz w:val="20"/>
                <w:szCs w:val="20"/>
              </w:rPr>
              <w:t xml:space="preserve"> quickly and efficiently. They actively seek ways to improve workflow efficiency through automation and digital solutions. Rather than resisting change, they embrace innovation and share their knowledge with others. They are often the </w:t>
            </w:r>
            <w:r w:rsidRPr="00D767BE">
              <w:rPr>
                <w:b/>
                <w:bCs/>
                <w:sz w:val="20"/>
                <w:szCs w:val="20"/>
              </w:rPr>
              <w:t>first to adopt new processes and teach colleagues</w:t>
            </w:r>
            <w:r w:rsidRPr="00D767BE">
              <w:rPr>
                <w:sz w:val="20"/>
                <w:szCs w:val="20"/>
              </w:rPr>
              <w:t xml:space="preserve"> how to leverage technology effectively. Their technical proficiency reduces errors, speeds up transactions, and improves customer experience.</w:t>
            </w:r>
          </w:p>
        </w:tc>
      </w:tr>
      <w:tr w:rsidR="00994729" w:rsidRPr="00D767BE" w14:paraId="46B34D25" w14:textId="77777777" w:rsidTr="002B0876">
        <w:trPr>
          <w:tblCellSpacing w:w="15" w:type="dxa"/>
        </w:trPr>
        <w:tc>
          <w:tcPr>
            <w:tcW w:w="2020" w:type="dxa"/>
            <w:vAlign w:val="center"/>
          </w:tcPr>
          <w:p w14:paraId="6EDFCD62" w14:textId="50BC5A7F" w:rsidR="00994729" w:rsidRPr="00D767BE" w:rsidRDefault="002B0876" w:rsidP="00994729">
            <w:pPr>
              <w:rPr>
                <w:b/>
                <w:bCs/>
              </w:rPr>
            </w:pPr>
            <w:r w:rsidRPr="00D767BE">
              <w:rPr>
                <w:b/>
                <w:bCs/>
              </w:rPr>
              <w:t>Works Effectively with a Diverse Team</w:t>
            </w:r>
          </w:p>
        </w:tc>
        <w:tc>
          <w:tcPr>
            <w:tcW w:w="8775" w:type="dxa"/>
            <w:vAlign w:val="center"/>
          </w:tcPr>
          <w:p w14:paraId="1AD70A50" w14:textId="3BDF4AFB" w:rsidR="00994729" w:rsidRPr="00D767BE" w:rsidRDefault="002B0876" w:rsidP="00994729">
            <w:pPr>
              <w:rPr>
                <w:sz w:val="20"/>
                <w:szCs w:val="20"/>
              </w:rPr>
            </w:pPr>
            <w:r w:rsidRPr="00D767BE">
              <w:rPr>
                <w:sz w:val="20"/>
                <w:szCs w:val="20"/>
              </w:rPr>
              <w:t xml:space="preserve">A strong escrow officer understands that teamwork is essential for success. They collaborate seamlessly with processors, sales reps, and other escrow officers to ensure smooth transactions. They do not work in silos; instead, they share information, ask for input, and support colleagues when needed. They are empathetic, </w:t>
            </w:r>
            <w:r w:rsidRPr="00D767BE">
              <w:rPr>
                <w:b/>
                <w:bCs/>
                <w:sz w:val="20"/>
                <w:szCs w:val="20"/>
              </w:rPr>
              <w:t>great listeners, and approachable problem-solvers</w:t>
            </w:r>
            <w:r w:rsidRPr="00D767BE">
              <w:rPr>
                <w:sz w:val="20"/>
                <w:szCs w:val="20"/>
              </w:rPr>
              <w:t xml:space="preserve"> who contribute to a positive, productive work environment. They actively help others succeed, fostering a culture of teamwork, trust, and shared success.</w:t>
            </w:r>
          </w:p>
        </w:tc>
      </w:tr>
      <w:tr w:rsidR="00994729" w:rsidRPr="00D767BE" w14:paraId="627119B2" w14:textId="77777777" w:rsidTr="002B0876">
        <w:trPr>
          <w:tblCellSpacing w:w="15" w:type="dxa"/>
        </w:trPr>
        <w:tc>
          <w:tcPr>
            <w:tcW w:w="2020" w:type="dxa"/>
            <w:vAlign w:val="center"/>
          </w:tcPr>
          <w:p w14:paraId="67A3531D" w14:textId="78087164" w:rsidR="00994729" w:rsidRPr="00D767BE" w:rsidRDefault="002B0876" w:rsidP="00994729">
            <w:pPr>
              <w:rPr>
                <w:b/>
                <w:bCs/>
              </w:rPr>
            </w:pPr>
            <w:r w:rsidRPr="00D767BE">
              <w:rPr>
                <w:b/>
                <w:bCs/>
              </w:rPr>
              <w:t>Problem Solving</w:t>
            </w:r>
          </w:p>
        </w:tc>
        <w:tc>
          <w:tcPr>
            <w:tcW w:w="8775" w:type="dxa"/>
            <w:vAlign w:val="center"/>
          </w:tcPr>
          <w:p w14:paraId="7FB87518" w14:textId="6E959CC2" w:rsidR="00994729" w:rsidRPr="00D767BE" w:rsidRDefault="002B0876" w:rsidP="00994729">
            <w:pPr>
              <w:rPr>
                <w:sz w:val="20"/>
                <w:szCs w:val="20"/>
              </w:rPr>
            </w:pPr>
            <w:r w:rsidRPr="00D767BE">
              <w:rPr>
                <w:sz w:val="20"/>
                <w:szCs w:val="20"/>
              </w:rPr>
              <w:t xml:space="preserve">The best escrow officers are </w:t>
            </w:r>
            <w:r w:rsidRPr="00D767BE">
              <w:rPr>
                <w:b/>
                <w:bCs/>
                <w:sz w:val="20"/>
                <w:szCs w:val="20"/>
              </w:rPr>
              <w:t>resourceful, logical, and proactive problem-solvers</w:t>
            </w:r>
            <w:r w:rsidRPr="00D767BE">
              <w:rPr>
                <w:sz w:val="20"/>
                <w:szCs w:val="20"/>
              </w:rPr>
              <w:t xml:space="preserve">. When faced with a complex title issue, lender delay, or customer concern, they do not panic—they take a structured approach to finding a solution. They seek input from relevant parties, weigh options carefully, and make sound decisions that keep transactions moving forward. They anticipate challenges </w:t>
            </w:r>
            <w:r w:rsidRPr="00D767BE">
              <w:rPr>
                <w:b/>
                <w:bCs/>
                <w:sz w:val="20"/>
                <w:szCs w:val="20"/>
              </w:rPr>
              <w:t>before they become problems</w:t>
            </w:r>
            <w:r w:rsidRPr="00D767BE">
              <w:rPr>
                <w:sz w:val="20"/>
                <w:szCs w:val="20"/>
              </w:rPr>
              <w:t xml:space="preserve">, allowing them to proactively manage risk and prevent deal-breaking issues. Their ability to </w:t>
            </w:r>
            <w:r w:rsidRPr="00D767BE">
              <w:rPr>
                <w:b/>
                <w:bCs/>
                <w:sz w:val="20"/>
                <w:szCs w:val="20"/>
              </w:rPr>
              <w:t>think critically and adapt under pressure</w:t>
            </w:r>
            <w:r w:rsidRPr="00D767BE">
              <w:rPr>
                <w:sz w:val="20"/>
                <w:szCs w:val="20"/>
              </w:rPr>
              <w:t xml:space="preserve"> makes them an invaluable asset to the team.</w:t>
            </w:r>
          </w:p>
        </w:tc>
      </w:tr>
      <w:tr w:rsidR="00994729" w:rsidRPr="00D767BE" w14:paraId="02422C9B" w14:textId="77777777" w:rsidTr="002B0876">
        <w:trPr>
          <w:tblCellSpacing w:w="15" w:type="dxa"/>
        </w:trPr>
        <w:tc>
          <w:tcPr>
            <w:tcW w:w="2020" w:type="dxa"/>
            <w:vAlign w:val="center"/>
          </w:tcPr>
          <w:p w14:paraId="27F3A4CC" w14:textId="208929A8" w:rsidR="00994729" w:rsidRPr="00D767BE" w:rsidRDefault="002B0876" w:rsidP="00994729">
            <w:pPr>
              <w:rPr>
                <w:b/>
                <w:bCs/>
              </w:rPr>
            </w:pPr>
            <w:r w:rsidRPr="00D767BE">
              <w:rPr>
                <w:b/>
                <w:bCs/>
              </w:rPr>
              <w:t>Character &amp; Values</w:t>
            </w:r>
          </w:p>
        </w:tc>
        <w:tc>
          <w:tcPr>
            <w:tcW w:w="8775" w:type="dxa"/>
            <w:vAlign w:val="center"/>
          </w:tcPr>
          <w:p w14:paraId="4905E580" w14:textId="1E1DD40E" w:rsidR="00994729" w:rsidRPr="00D767BE" w:rsidRDefault="002B0876" w:rsidP="00994729">
            <w:pPr>
              <w:rPr>
                <w:sz w:val="20"/>
                <w:szCs w:val="20"/>
              </w:rPr>
            </w:pPr>
            <w:r w:rsidRPr="00D767BE">
              <w:rPr>
                <w:sz w:val="20"/>
                <w:szCs w:val="20"/>
              </w:rPr>
              <w:t xml:space="preserve">Integrity, honesty, and professionalism define a great escrow officer. They consistently demonstrate </w:t>
            </w:r>
            <w:r w:rsidRPr="00D767BE">
              <w:rPr>
                <w:b/>
                <w:bCs/>
                <w:sz w:val="20"/>
                <w:szCs w:val="20"/>
              </w:rPr>
              <w:t>strong ethical standards</w:t>
            </w:r>
            <w:r w:rsidRPr="00D767BE">
              <w:rPr>
                <w:sz w:val="20"/>
                <w:szCs w:val="20"/>
              </w:rPr>
              <w:t xml:space="preserve">, placing the needs of clients and the company above personal gain. They take accountability for mistakes, seek continuous improvement, and act as </w:t>
            </w:r>
            <w:r w:rsidRPr="00D767BE">
              <w:rPr>
                <w:b/>
                <w:bCs/>
                <w:sz w:val="20"/>
                <w:szCs w:val="20"/>
              </w:rPr>
              <w:t>a role model for others</w:t>
            </w:r>
            <w:r w:rsidRPr="00D767BE">
              <w:rPr>
                <w:sz w:val="20"/>
                <w:szCs w:val="20"/>
              </w:rPr>
              <w:t>. Their reliability and trustworthiness make them highly respected by colleagues, clients, and industry partners. They contribute to a culture of transparency and high ethical standards, ensuring the company’s reputation remains strong.</w:t>
            </w:r>
          </w:p>
        </w:tc>
      </w:tr>
      <w:tr w:rsidR="00994729" w:rsidRPr="00D767BE" w14:paraId="444C26D5" w14:textId="77777777" w:rsidTr="002B0876">
        <w:trPr>
          <w:tblCellSpacing w:w="15" w:type="dxa"/>
        </w:trPr>
        <w:tc>
          <w:tcPr>
            <w:tcW w:w="2020" w:type="dxa"/>
            <w:vAlign w:val="center"/>
          </w:tcPr>
          <w:p w14:paraId="3FB5E643" w14:textId="4B7CD76E" w:rsidR="00994729" w:rsidRPr="00D767BE" w:rsidRDefault="002B0876" w:rsidP="00994729">
            <w:pPr>
              <w:rPr>
                <w:b/>
                <w:bCs/>
              </w:rPr>
            </w:pPr>
            <w:r w:rsidRPr="00D767BE">
              <w:rPr>
                <w:b/>
                <w:bCs/>
              </w:rPr>
              <w:t>Culture &amp; Environment Fit</w:t>
            </w:r>
          </w:p>
        </w:tc>
        <w:tc>
          <w:tcPr>
            <w:tcW w:w="8775" w:type="dxa"/>
            <w:vAlign w:val="center"/>
          </w:tcPr>
          <w:p w14:paraId="404F7BC6" w14:textId="76BF83DF" w:rsidR="00994729" w:rsidRPr="00D767BE" w:rsidRDefault="002B0876" w:rsidP="00994729">
            <w:pPr>
              <w:rPr>
                <w:sz w:val="20"/>
                <w:szCs w:val="20"/>
              </w:rPr>
            </w:pPr>
            <w:r w:rsidRPr="00D767BE">
              <w:rPr>
                <w:sz w:val="20"/>
                <w:szCs w:val="20"/>
              </w:rPr>
              <w:t xml:space="preserve">Thriving in a </w:t>
            </w:r>
            <w:r w:rsidRPr="00D767BE">
              <w:rPr>
                <w:b/>
                <w:bCs/>
                <w:sz w:val="20"/>
                <w:szCs w:val="20"/>
              </w:rPr>
              <w:t>customer-focused, results-driven, and collaborative</w:t>
            </w:r>
            <w:r w:rsidRPr="00D767BE">
              <w:rPr>
                <w:sz w:val="20"/>
                <w:szCs w:val="20"/>
              </w:rPr>
              <w:t xml:space="preserve"> environment is key for a high-performing escrow officer. They align with company values and actively contribute to a </w:t>
            </w:r>
            <w:r w:rsidRPr="00D767BE">
              <w:rPr>
                <w:b/>
                <w:bCs/>
                <w:sz w:val="20"/>
                <w:szCs w:val="20"/>
              </w:rPr>
              <w:t>positive, high-energy workplace</w:t>
            </w:r>
            <w:r w:rsidRPr="00D767BE">
              <w:rPr>
                <w:sz w:val="20"/>
                <w:szCs w:val="20"/>
              </w:rPr>
              <w:t xml:space="preserve">. They embrace coaching and feedback, consistently strive to improve, and lift the spirits of those around them. They approach challenges with resilience and a </w:t>
            </w:r>
            <w:r w:rsidRPr="00D767BE">
              <w:rPr>
                <w:b/>
                <w:bCs/>
                <w:sz w:val="20"/>
                <w:szCs w:val="20"/>
              </w:rPr>
              <w:t>solutions-oriented mindset</w:t>
            </w:r>
            <w:r w:rsidRPr="00D767BE">
              <w:rPr>
                <w:sz w:val="20"/>
                <w:szCs w:val="20"/>
              </w:rPr>
              <w:t>, setting an example for the entir</w:t>
            </w:r>
            <w:r w:rsidR="00904A9E" w:rsidRPr="00D767BE">
              <w:rPr>
                <w:sz w:val="20"/>
                <w:szCs w:val="20"/>
              </w:rPr>
              <w:t>e team.</w:t>
            </w:r>
          </w:p>
        </w:tc>
      </w:tr>
    </w:tbl>
    <w:p w14:paraId="36E82757" w14:textId="77777777" w:rsidR="00994729" w:rsidRPr="00D767BE" w:rsidRDefault="00994729" w:rsidP="00F31230"/>
    <w:sectPr w:rsidR="00994729" w:rsidRPr="00D767BE" w:rsidSect="00994729">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C77AE" w14:textId="77777777" w:rsidR="00CF1405" w:rsidRDefault="00CF1405" w:rsidP="00994729">
      <w:pPr>
        <w:spacing w:after="0" w:line="240" w:lineRule="auto"/>
      </w:pPr>
      <w:r>
        <w:separator/>
      </w:r>
    </w:p>
  </w:endnote>
  <w:endnote w:type="continuationSeparator" w:id="0">
    <w:p w14:paraId="4E13E1A9" w14:textId="77777777" w:rsidR="00CF1405" w:rsidRDefault="00CF1405" w:rsidP="00994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702099"/>
      <w:docPartObj>
        <w:docPartGallery w:val="Page Numbers (Bottom of Page)"/>
        <w:docPartUnique/>
      </w:docPartObj>
    </w:sdtPr>
    <w:sdtEndPr>
      <w:rPr>
        <w:noProof/>
      </w:rPr>
    </w:sdtEndPr>
    <w:sdtContent>
      <w:p w14:paraId="53D38664" w14:textId="0C074B03" w:rsidR="00994729" w:rsidRDefault="009947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5E3810" w14:textId="77777777" w:rsidR="00994729" w:rsidRDefault="009947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FFF8A" w14:textId="77777777" w:rsidR="00CF1405" w:rsidRDefault="00CF1405" w:rsidP="00994729">
      <w:pPr>
        <w:spacing w:after="0" w:line="240" w:lineRule="auto"/>
      </w:pPr>
      <w:r>
        <w:separator/>
      </w:r>
    </w:p>
  </w:footnote>
  <w:footnote w:type="continuationSeparator" w:id="0">
    <w:p w14:paraId="257D674B" w14:textId="77777777" w:rsidR="00CF1405" w:rsidRDefault="00CF1405" w:rsidP="00994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A1EC" w14:textId="77777777" w:rsidR="005F0CE3" w:rsidRPr="005F0CE3" w:rsidRDefault="005F0CE3" w:rsidP="00D40A13">
    <w:pPr>
      <w:spacing w:after="0"/>
      <w:rPr>
        <w:b/>
        <w:bCs/>
        <w:color w:val="215E99" w:themeColor="text2" w:themeTint="BF"/>
        <w:sz w:val="32"/>
        <w:szCs w:val="32"/>
      </w:rPr>
    </w:pPr>
    <w:r w:rsidRPr="005F0CE3">
      <w:rPr>
        <w:b/>
        <w:bCs/>
        <w:color w:val="215E99" w:themeColor="text2" w:themeTint="BF"/>
        <w:sz w:val="32"/>
        <w:szCs w:val="32"/>
      </w:rPr>
      <w:t>Escrow Officer Performance Profile</w:t>
    </w:r>
  </w:p>
  <w:p w14:paraId="6E2D18F2" w14:textId="4542BAF8" w:rsidR="00F31230" w:rsidRPr="00D767BE" w:rsidRDefault="00F31230" w:rsidP="00D40A13">
    <w:pPr>
      <w:spacing w:after="0"/>
    </w:pPr>
    <w:r w:rsidRPr="00D767BE">
      <w:rPr>
        <w:b/>
        <w:bCs/>
        <w:color w:val="215E99" w:themeColor="text2" w:themeTint="BF"/>
        <w:sz w:val="18"/>
        <w:szCs w:val="18"/>
      </w:rPr>
      <w:t>V1 3-5-2025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29"/>
    <w:rsid w:val="001B11C6"/>
    <w:rsid w:val="002A53F8"/>
    <w:rsid w:val="002B0876"/>
    <w:rsid w:val="002C0C02"/>
    <w:rsid w:val="004D6E4C"/>
    <w:rsid w:val="0053231A"/>
    <w:rsid w:val="00565D93"/>
    <w:rsid w:val="005974DD"/>
    <w:rsid w:val="005F0CE3"/>
    <w:rsid w:val="006B63A3"/>
    <w:rsid w:val="006F3815"/>
    <w:rsid w:val="007B3778"/>
    <w:rsid w:val="007F7543"/>
    <w:rsid w:val="00800577"/>
    <w:rsid w:val="008007D6"/>
    <w:rsid w:val="00904A9E"/>
    <w:rsid w:val="00994729"/>
    <w:rsid w:val="009A259D"/>
    <w:rsid w:val="009F4F34"/>
    <w:rsid w:val="00A1417F"/>
    <w:rsid w:val="00B534A1"/>
    <w:rsid w:val="00BF0836"/>
    <w:rsid w:val="00CF1405"/>
    <w:rsid w:val="00D40A13"/>
    <w:rsid w:val="00D767BE"/>
    <w:rsid w:val="00DB5FA3"/>
    <w:rsid w:val="00F31230"/>
    <w:rsid w:val="00F7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D5A352"/>
  <w15:chartTrackingRefBased/>
  <w15:docId w15:val="{10F10AFF-073C-4060-A9D3-123F58C0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4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4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4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4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4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4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4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4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4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4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4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4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4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4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4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4729"/>
    <w:rPr>
      <w:rFonts w:eastAsiaTheme="majorEastAsia" w:cstheme="majorBidi"/>
      <w:color w:val="272727" w:themeColor="text1" w:themeTint="D8"/>
    </w:rPr>
  </w:style>
  <w:style w:type="paragraph" w:styleId="Title">
    <w:name w:val="Title"/>
    <w:basedOn w:val="Normal"/>
    <w:next w:val="Normal"/>
    <w:link w:val="TitleChar"/>
    <w:uiPriority w:val="10"/>
    <w:qFormat/>
    <w:rsid w:val="00994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4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4729"/>
    <w:pPr>
      <w:spacing w:before="160"/>
      <w:jc w:val="center"/>
    </w:pPr>
    <w:rPr>
      <w:i/>
      <w:iCs/>
      <w:color w:val="404040" w:themeColor="text1" w:themeTint="BF"/>
    </w:rPr>
  </w:style>
  <w:style w:type="character" w:customStyle="1" w:styleId="QuoteChar">
    <w:name w:val="Quote Char"/>
    <w:basedOn w:val="DefaultParagraphFont"/>
    <w:link w:val="Quote"/>
    <w:uiPriority w:val="29"/>
    <w:rsid w:val="00994729"/>
    <w:rPr>
      <w:i/>
      <w:iCs/>
      <w:color w:val="404040" w:themeColor="text1" w:themeTint="BF"/>
    </w:rPr>
  </w:style>
  <w:style w:type="paragraph" w:styleId="ListParagraph">
    <w:name w:val="List Paragraph"/>
    <w:basedOn w:val="Normal"/>
    <w:uiPriority w:val="34"/>
    <w:qFormat/>
    <w:rsid w:val="00994729"/>
    <w:pPr>
      <w:ind w:left="720"/>
      <w:contextualSpacing/>
    </w:pPr>
  </w:style>
  <w:style w:type="character" w:styleId="IntenseEmphasis">
    <w:name w:val="Intense Emphasis"/>
    <w:basedOn w:val="DefaultParagraphFont"/>
    <w:uiPriority w:val="21"/>
    <w:qFormat/>
    <w:rsid w:val="00994729"/>
    <w:rPr>
      <w:i/>
      <w:iCs/>
      <w:color w:val="0F4761" w:themeColor="accent1" w:themeShade="BF"/>
    </w:rPr>
  </w:style>
  <w:style w:type="paragraph" w:styleId="IntenseQuote">
    <w:name w:val="Intense Quote"/>
    <w:basedOn w:val="Normal"/>
    <w:next w:val="Normal"/>
    <w:link w:val="IntenseQuoteChar"/>
    <w:uiPriority w:val="30"/>
    <w:qFormat/>
    <w:rsid w:val="00994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4729"/>
    <w:rPr>
      <w:i/>
      <w:iCs/>
      <w:color w:val="0F4761" w:themeColor="accent1" w:themeShade="BF"/>
    </w:rPr>
  </w:style>
  <w:style w:type="character" w:styleId="IntenseReference">
    <w:name w:val="Intense Reference"/>
    <w:basedOn w:val="DefaultParagraphFont"/>
    <w:uiPriority w:val="32"/>
    <w:qFormat/>
    <w:rsid w:val="00994729"/>
    <w:rPr>
      <w:b/>
      <w:bCs/>
      <w:smallCaps/>
      <w:color w:val="0F4761" w:themeColor="accent1" w:themeShade="BF"/>
      <w:spacing w:val="5"/>
    </w:rPr>
  </w:style>
  <w:style w:type="paragraph" w:styleId="Header">
    <w:name w:val="header"/>
    <w:basedOn w:val="Normal"/>
    <w:link w:val="HeaderChar"/>
    <w:uiPriority w:val="99"/>
    <w:unhideWhenUsed/>
    <w:rsid w:val="00994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729"/>
  </w:style>
  <w:style w:type="paragraph" w:styleId="Footer">
    <w:name w:val="footer"/>
    <w:basedOn w:val="Normal"/>
    <w:link w:val="FooterChar"/>
    <w:uiPriority w:val="99"/>
    <w:unhideWhenUsed/>
    <w:rsid w:val="00994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729"/>
  </w:style>
  <w:style w:type="character" w:styleId="Strong">
    <w:name w:val="Strong"/>
    <w:basedOn w:val="DefaultParagraphFont"/>
    <w:uiPriority w:val="22"/>
    <w:qFormat/>
    <w:rsid w:val="002B0876"/>
    <w:rPr>
      <w:b/>
      <w:bCs/>
    </w:rPr>
  </w:style>
  <w:style w:type="paragraph" w:styleId="Revision">
    <w:name w:val="Revision"/>
    <w:hidden/>
    <w:uiPriority w:val="99"/>
    <w:semiHidden/>
    <w:rsid w:val="00565D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58256">
      <w:bodyDiv w:val="1"/>
      <w:marLeft w:val="0"/>
      <w:marRight w:val="0"/>
      <w:marTop w:val="0"/>
      <w:marBottom w:val="0"/>
      <w:divBdr>
        <w:top w:val="none" w:sz="0" w:space="0" w:color="auto"/>
        <w:left w:val="none" w:sz="0" w:space="0" w:color="auto"/>
        <w:bottom w:val="none" w:sz="0" w:space="0" w:color="auto"/>
        <w:right w:val="none" w:sz="0" w:space="0" w:color="auto"/>
      </w:divBdr>
    </w:div>
    <w:div w:id="581568718">
      <w:bodyDiv w:val="1"/>
      <w:marLeft w:val="0"/>
      <w:marRight w:val="0"/>
      <w:marTop w:val="0"/>
      <w:marBottom w:val="0"/>
      <w:divBdr>
        <w:top w:val="none" w:sz="0" w:space="0" w:color="auto"/>
        <w:left w:val="none" w:sz="0" w:space="0" w:color="auto"/>
        <w:bottom w:val="none" w:sz="0" w:space="0" w:color="auto"/>
        <w:right w:val="none" w:sz="0" w:space="0" w:color="auto"/>
      </w:divBdr>
    </w:div>
    <w:div w:id="950084790">
      <w:bodyDiv w:val="1"/>
      <w:marLeft w:val="0"/>
      <w:marRight w:val="0"/>
      <w:marTop w:val="0"/>
      <w:marBottom w:val="0"/>
      <w:divBdr>
        <w:top w:val="none" w:sz="0" w:space="0" w:color="auto"/>
        <w:left w:val="none" w:sz="0" w:space="0" w:color="auto"/>
        <w:bottom w:val="none" w:sz="0" w:space="0" w:color="auto"/>
        <w:right w:val="none" w:sz="0" w:space="0" w:color="auto"/>
      </w:divBdr>
    </w:div>
    <w:div w:id="954020505">
      <w:bodyDiv w:val="1"/>
      <w:marLeft w:val="0"/>
      <w:marRight w:val="0"/>
      <w:marTop w:val="0"/>
      <w:marBottom w:val="0"/>
      <w:divBdr>
        <w:top w:val="none" w:sz="0" w:space="0" w:color="auto"/>
        <w:left w:val="none" w:sz="0" w:space="0" w:color="auto"/>
        <w:bottom w:val="none" w:sz="0" w:space="0" w:color="auto"/>
        <w:right w:val="none" w:sz="0" w:space="0" w:color="auto"/>
      </w:divBdr>
    </w:div>
    <w:div w:id="1223177802">
      <w:bodyDiv w:val="1"/>
      <w:marLeft w:val="0"/>
      <w:marRight w:val="0"/>
      <w:marTop w:val="0"/>
      <w:marBottom w:val="0"/>
      <w:divBdr>
        <w:top w:val="none" w:sz="0" w:space="0" w:color="auto"/>
        <w:left w:val="none" w:sz="0" w:space="0" w:color="auto"/>
        <w:bottom w:val="none" w:sz="0" w:space="0" w:color="auto"/>
        <w:right w:val="none" w:sz="0" w:space="0" w:color="auto"/>
      </w:divBdr>
    </w:div>
    <w:div w:id="162152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Johanson</dc:creator>
  <cp:keywords/>
  <dc:description/>
  <cp:lastModifiedBy>Ferry, Suzanne</cp:lastModifiedBy>
  <cp:revision>9</cp:revision>
  <cp:lastPrinted>2025-05-06T15:21:00Z</cp:lastPrinted>
  <dcterms:created xsi:type="dcterms:W3CDTF">2025-02-28T23:05:00Z</dcterms:created>
  <dcterms:modified xsi:type="dcterms:W3CDTF">2025-05-06T15:23:00Z</dcterms:modified>
</cp:coreProperties>
</file>